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77" w:rsidP="00290B55" w:rsidRDefault="00DC05B0">
      <w:pPr>
        <w:pStyle w:val="Heading110"/>
        <w:shd w:val="clear" w:color="auto" w:fill="auto"/>
        <w:spacing w:after="120" w:line="276" w:lineRule="auto"/>
        <w:rPr>
          <w:color w:val="000000"/>
        </w:rPr>
      </w:pPr>
      <w:bookmarkStart w:id="0" w:name="bookmark0"/>
      <w:r>
        <w:rPr>
          <w:color w:val="000000"/>
        </w:rPr>
        <w:t xml:space="preserve">Simulazzjoni tal-Azzjoni Klimatika: In-Nazzjonijiet Żviluppati</w:t>
      </w:r>
      <w:bookmarkEnd w:id="0"/>
    </w:p>
    <w:tbl>
      <w:tblPr>
        <w:tblStyle w:val="TableGrid"/>
        <w:tblW w:w="97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5953"/>
      </w:tblGrid>
      <w:tr w:rsidR="004D0CFD" w:rsidTr="00290B55">
        <w:trPr>
          <w:trHeight w:val="725"/>
        </w:trPr>
        <w:tc>
          <w:tcPr>
            <w:tcW w:w="2660" w:type="dxa"/>
            <w:vMerge w:val="restart"/>
          </w:tcPr>
          <w:p w:rsidRPr="00290B55" w:rsidR="004D0CFD" w:rsidP="004D0CFD" w:rsidRDefault="009106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drawing>
                <wp:anchor distT="0" distB="0" distL="63500" distR="63500" simplePos="0" relativeHeight="377491201" behindDoc="1" locked="0" layoutInCell="1" allowOverlap="1" wp14:editId="37D0F14E" wp14:anchorId="48386D96">
                  <wp:simplePos x="0" y="0"/>
                  <wp:positionH relativeFrom="margin">
                    <wp:posOffset>-13970</wp:posOffset>
                  </wp:positionH>
                  <wp:positionV relativeFrom="paragraph">
                    <wp:posOffset>40640</wp:posOffset>
                  </wp:positionV>
                  <wp:extent cx="1615440" cy="871855"/>
                  <wp:effectExtent l="0" t="0" r="3810" b="4445"/>
                  <wp:wrapSquare wrapText="bothSides"/>
                  <wp:docPr id="6" name="Picture 6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871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Pr="00290B55" w:rsidR="004D0CFD" w:rsidP="00290B55" w:rsidRDefault="004D0CFD">
            <w:pPr>
              <w:spacing w:before="120"/>
              <w:rPr>
                <w:b/>
              </w:rPr>
            </w:pPr>
            <w:r>
              <w:rPr>
                <w:b/>
                <w:color w:val="000000"/>
              </w:rPr>
              <w:t xml:space="preserve">Lil: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5953" w:type="dxa"/>
          </w:tcPr>
          <w:p w:rsidRPr="00290B55" w:rsidR="004D0CFD" w:rsidP="00290B55" w:rsidRDefault="004D0CFD">
            <w:pPr>
              <w:spacing w:before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Negozjaturi Ewlenin għan-Nazzjonijiet Żviluppati</w:t>
            </w:r>
          </w:p>
          <w:p w:rsidR="004D0CFD" w:rsidP="004D0CFD" w:rsidRDefault="004D0CFD">
            <w:r>
              <w:rPr>
                <w:color w:val="000000"/>
              </w:rPr>
              <w:t xml:space="preserve">(L-Istati Uniti tal-Amerka, il-Kanada, l-Unjoni Ewropea, il-Ġappun, ir-Russja u Repubbliki oħra li qabel kienu parti mill-Unjoni Sovjetika, il-Korea t’Isfel, l-Awstralja, New Zealand)</w:t>
            </w:r>
          </w:p>
        </w:tc>
      </w:tr>
      <w:tr w:rsidR="004D0CFD" w:rsidTr="00290B55">
        <w:trPr>
          <w:trHeight w:val="725"/>
        </w:trPr>
        <w:tc>
          <w:tcPr>
            <w:tcW w:w="2660" w:type="dxa"/>
            <w:vMerge/>
          </w:tcPr>
          <w:p w:rsidRPr="004D0CFD" w:rsidR="004D0CFD" w:rsidP="004D0CFD" w:rsidRDefault="004D0CFD">
            <w:pPr>
              <w:rPr>
                <w:lang w:bidi="en-US"/>
              </w:rPr>
            </w:pPr>
          </w:p>
        </w:tc>
        <w:tc>
          <w:tcPr>
            <w:tcW w:w="1134" w:type="dxa"/>
          </w:tcPr>
          <w:p w:rsidRPr="00290B55" w:rsidR="004D0CFD" w:rsidP="00290B55" w:rsidRDefault="004D0CFD">
            <w:pPr>
              <w:spacing w:before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Suġġett:</w:t>
            </w:r>
          </w:p>
        </w:tc>
        <w:tc>
          <w:tcPr>
            <w:tcW w:w="5953" w:type="dxa"/>
          </w:tcPr>
          <w:p w:rsidRPr="00290B55" w:rsidR="004D0CFD" w:rsidP="00290B55" w:rsidRDefault="004D0CFD">
            <w:pPr>
              <w:spacing w:before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Tħejjija għas-Summit dwar l-Azzjoni Klimatika</w:t>
            </w:r>
          </w:p>
        </w:tc>
      </w:tr>
    </w:tbl>
    <w:p w:rsidRPr="00290B55" w:rsidR="004D0CFD" w:rsidP="00290B55" w:rsidRDefault="004D0CFD"/>
    <w:p w:rsidRPr="004D0CFD" w:rsidR="002C1D77" w:rsidP="00290B55" w:rsidRDefault="00DC05B0">
      <w:pPr>
        <w:spacing w:after="120"/>
      </w:pPr>
      <w:r>
        <w:t xml:space="preserve">Merħba fis-Summit dwar l-Azzjoni Klimatika.</w:t>
      </w:r>
      <w:r>
        <w:t xml:space="preserve"> </w:t>
      </w:r>
      <w:r>
        <w:t xml:space="preserve">Intom u mexxejja mill-partijiet interessati kollha rilevanti ġejtu mistiedna mis-Segretarju Ġenerali tan-NU sabiex taħdmu flimkien biex tindirizzaw b’suċċess it-tibdil fil-klima.</w:t>
      </w:r>
      <w:r>
        <w:t xml:space="preserve"> </w:t>
      </w:r>
      <w:r>
        <w:t xml:space="preserve">Fl-istedina, is-Segretarju Ġenerali </w:t>
      </w:r>
      <w:r>
        <w:rPr>
          <w:rStyle w:val="Bodytext2"/>
        </w:rPr>
        <w:t xml:space="preserve">nnota</w:t>
      </w:r>
      <w:r>
        <w:t xml:space="preserve"> li: “L-emerġenza klimatika hija tellieqa li qegħdin nitilfu, iżda hija tellieqa li nistgħu nirbħu ...</w:t>
      </w:r>
      <w:r>
        <w:t xml:space="preserve"> </w:t>
      </w:r>
      <w:r>
        <w:t xml:space="preserve">L-aqwa xjenza ... tgħidilna li kwalunkwe żieda fit-temperatura ’l fuq minn 1,5°C twassal għal ħsara kbira u irreversibbli lill-ekosistemi li jsostnuna ...</w:t>
      </w:r>
      <w:r>
        <w:t xml:space="preserve"> </w:t>
      </w:r>
      <w:r>
        <w:t xml:space="preserve">Iżda x-xjenza tgħidilna wkoll li għadu mhux tard wisq.</w:t>
      </w:r>
      <w:r>
        <w:t xml:space="preserve"> </w:t>
      </w:r>
      <w:r>
        <w:t xml:space="preserve">Jista' jirnexxilna nwettqu dan ...</w:t>
      </w:r>
      <w:r>
        <w:t xml:space="preserve"> </w:t>
      </w:r>
      <w:r>
        <w:t xml:space="preserve">Iżda dan se jirrikjedi trasformazzjonijiet fundamentali fl-aspetti kollha tas-soċjetà – kif aħna nkabbru l-ikel, nużaw l-art, liema fjuwil nużaw għat-trasport tagħna u kif nipprovdu l-enerġija għall-ekonomiji tagħna ...</w:t>
      </w:r>
      <w:r>
        <w:t xml:space="preserve"> </w:t>
      </w:r>
      <w:r>
        <w:t xml:space="preserve">Jekk naġixxu flimkien, m’ aħna se nħallu lil ħadd jibqa’ lura.”</w:t>
      </w:r>
    </w:p>
    <w:p w:rsidRPr="004D0CFD" w:rsidR="002C1D77" w:rsidP="000A6D24" w:rsidRDefault="00DC05B0">
      <w:pPr>
        <w:spacing w:after="120" w:line="276" w:lineRule="auto"/>
      </w:pPr>
      <w:r>
        <w:rPr>
          <w:color w:val="000000"/>
        </w:rPr>
        <w:t xml:space="preserve">L-għan tas-summit huwa li jinħoloq pjan sabiex jiġi limitat it-tisħin globali għal anqas minn 2°C [3,6°F] 'il fuq mil-livelli preindustrijali u li jsiru sforzi sabiex jintlaħaq 1,5°C [2,7°F], il-miri internazzjonali rikonoxxuti formalment fil-Ftehim ta’ Pariġi dwar il-Klima.</w:t>
      </w:r>
      <w:r>
        <w:rPr>
          <w:color w:val="000000"/>
        </w:rPr>
        <w:t xml:space="preserve"> </w:t>
      </w:r>
      <w:r>
        <w:rPr>
          <w:color w:val="000000"/>
        </w:rPr>
        <w:t xml:space="preserve">L-</w:t>
      </w:r>
      <w:r>
        <w:rPr>
          <w:rStyle w:val="Bodytext2"/>
        </w:rPr>
        <w:t xml:space="preserve">evidenza xjentifika</w:t>
      </w:r>
      <w:r>
        <w:t xml:space="preserve"> </w:t>
      </w:r>
      <w:r>
        <w:rPr>
          <w:color w:val="000000"/>
        </w:rPr>
        <w:t xml:space="preserve">hija ċara: it-tisħin ogħla minn dan il-livell se jirriżulta f'impatti katastrofiċi u irriversibbli li jheddu s-saħħa, il-prosperità, u l-ħajja tan-nies fin-nazzjonijiet kollha.</w:t>
      </w:r>
    </w:p>
    <w:p w:rsidRPr="004D0CFD" w:rsidR="002C1D77" w:rsidP="00290B55" w:rsidRDefault="00DC05B0">
      <w:pPr>
        <w:spacing w:after="120" w:line="276" w:lineRule="auto"/>
      </w:pPr>
      <w:r>
        <w:rPr>
          <w:color w:val="000000"/>
        </w:rPr>
        <w:t xml:space="preserve">Intom tirrappreżentaw in-nazzjonijiet żviluppati tad-dinja (elenkati hawn fuq).</w:t>
      </w:r>
      <w:r>
        <w:rPr>
          <w:color w:val="000000"/>
        </w:rPr>
        <w:t xml:space="preserve"> </w:t>
      </w:r>
      <w:r>
        <w:rPr>
          <w:color w:val="000000"/>
        </w:rPr>
        <w:t xml:space="preserve">Il-popolazzjoni tan-nazzjonijiet tagħkom flimkien hija ta’ 1,3 biljun ruħ, madwar 17 % tas-7,7 biljun ruħ fid-dinja.</w:t>
      </w:r>
      <w:r>
        <w:rPr>
          <w:color w:val="000000"/>
        </w:rPr>
        <w:t xml:space="preserve"> </w:t>
      </w:r>
      <w:r>
        <w:rPr>
          <w:color w:val="000000"/>
        </w:rPr>
        <w:t xml:space="preserve">Madankollu, kollettivament, in-nazzjonijiet tagħkom jiġġeneraw 60 % tal-output ekonomiku tad-dinja u għandhom l-ogħla PDG (Prodott Domestiku Gross) per capita.</w:t>
      </w:r>
    </w:p>
    <w:p w:rsidRPr="004D0CFD" w:rsidR="002C1D77" w:rsidP="00290B55" w:rsidRDefault="00DC05B0">
      <w:pPr>
        <w:spacing w:after="120" w:line="276" w:lineRule="auto"/>
      </w:pPr>
      <w:r>
        <w:rPr>
          <w:color w:val="000000"/>
        </w:rPr>
        <w:t xml:space="preserve">Il-prijoritajiet ta’ politika tagħkom huma elenkati hawn taħt.</w:t>
      </w:r>
      <w:r>
        <w:rPr>
          <w:color w:val="000000"/>
        </w:rPr>
        <w:t xml:space="preserve"> </w:t>
      </w:r>
      <w:r>
        <w:rPr>
          <w:color w:val="000000"/>
        </w:rPr>
        <w:t xml:space="preserve">Intom tistgħu, madankollu, tipproponu, jew timblukkaw, kwalunkwe politika disponibbli.</w:t>
      </w:r>
    </w:p>
    <w:p w:rsidRPr="007A09A4" w:rsidR="002C1D77" w:rsidP="00290B55" w:rsidRDefault="00DC05B0">
      <w:pPr>
        <w:numPr>
          <w:ilvl w:val="0"/>
          <w:numId w:val="1"/>
        </w:numPr>
        <w:spacing w:after="120" w:line="276" w:lineRule="auto"/>
        <w:ind w:left="403" w:hanging="403"/>
      </w:pPr>
      <w:r>
        <w:rPr>
          <w:color w:val="000000"/>
          <w:b/>
        </w:rPr>
        <w:t xml:space="preserve">Issussidjaw l-enerġija rinnovabbli (eż. l-enerġija solari, l-enerġija eolika, l-enerġija ġeotermali, l-idroenerġija, u l-ħżin)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t xml:space="preserve">L-industrija tal-enerġija rinnovabbli qiegħda tikber b'mod mgħaġġel, iżda għadha tipprovdi anqas minn 5 % tal-provvista tal-enerġija tad-dinja.</w:t>
      </w:r>
      <w:r>
        <w:t xml:space="preserve"> </w:t>
      </w:r>
      <w:r>
        <w:t xml:space="preserve">Is-sussidji se jgħinu lil dawn l-industriji jikbru, u hekk jiġġeneraw l-impjiegi fin-nazzjonijiet tagħkom (jekk tistgħu tissuperaw it-teknoloġija eolika, solari, u tal-batteriji li qiegħda tiġi żviluppata fiċ-Ċina u f’nazzjonijiet oħra li qegħdin jiżviluppaw).</w:t>
      </w:r>
      <w:r>
        <w:t xml:space="preserve"> </w:t>
      </w:r>
      <w:r>
        <w:t xml:space="preserve">Il-ħżin (eż. il-batteriji, il-ħżin termali, l-ilma ppumpjat) u t-teknoloġija tal-“grilja intelliġenti” jippermettu li sorsi ta’ enerġija rinnovabbli varjabbli bħar-riħ u x-xemx jiġu integrati fis-sistema tal-enerġija filwaqt li jipprovdu enerġija elettrika l-ħin kollu.</w:t>
      </w:r>
    </w:p>
    <w:p w:rsidRPr="00290B55" w:rsidR="002C1D77" w:rsidP="00290B55" w:rsidRDefault="00DC05B0">
      <w:pPr>
        <w:numPr>
          <w:ilvl w:val="0"/>
          <w:numId w:val="1"/>
        </w:numPr>
        <w:spacing w:after="120" w:line="276" w:lineRule="auto"/>
        <w:ind w:left="403" w:hanging="403"/>
        <w:rPr>
          <w:b/>
        </w:rPr>
      </w:pPr>
      <w:r>
        <w:rPr>
          <w:rStyle w:val="Bodytext2Bold"/>
        </w:rPr>
        <w:t xml:space="preserve">Naqqsu d-deforestazzjoni.</w:t>
      </w:r>
      <w:r>
        <w:t xml:space="preserve"> </w:t>
      </w:r>
      <w:r>
        <w:rPr>
          <w:color w:val="000000"/>
        </w:rPr>
        <w:t xml:space="preserve">Id-deforestazzjoni attwalment hija responsabbli għal madwar 15 % tal-emissjonijiet globali ta’ gassijiet b'efffett ta' serra.</w:t>
      </w:r>
      <w:r>
        <w:rPr>
          <w:color w:val="000000"/>
        </w:rPr>
        <w:t xml:space="preserve"> </w:t>
      </w:r>
      <w:r>
        <w:rPr>
          <w:color w:val="000000"/>
        </w:rPr>
        <w:t xml:space="preserve">Il-biċċa l-kbira ta’ dik id-deforestazzjoni qiegħda sseħħ fil-foresti tropikali tan-nazzjonijiet li qegħdin jiżviluppaw, inklużi l-baċin tal-Amażonja, l-Afrika, u n-Nofsinhar/Xlokk tal-Asja.</w:t>
      </w:r>
      <w:r>
        <w:rPr>
          <w:color w:val="000000"/>
        </w:rPr>
        <w:t xml:space="preserve"> </w:t>
      </w:r>
      <w:r>
        <w:rPr>
          <w:color w:val="000000"/>
        </w:rPr>
        <w:t xml:space="preserve">Il-protezzjoni tal-foresti tista’ tnaqqas dawk l-emissjonijiet filwaqt li tiġi ppreservata wkoll il-bijodiversità u jiġu protetti l-provvisti tal-ilma.</w:t>
      </w:r>
    </w:p>
    <w:p w:rsidRPr="00290B55" w:rsidR="002C1D77" w:rsidP="00290B55" w:rsidRDefault="00DC05B0">
      <w:pPr>
        <w:numPr>
          <w:ilvl w:val="0"/>
          <w:numId w:val="1"/>
        </w:numPr>
        <w:spacing w:after="120" w:line="276" w:lineRule="auto"/>
        <w:ind w:left="403" w:hanging="403"/>
        <w:rPr>
          <w:b/>
        </w:rPr>
      </w:pPr>
      <w:r>
        <w:rPr>
          <w:rStyle w:val="Bodytext2Bold"/>
        </w:rPr>
        <w:t xml:space="preserve">Ikkunsidraw it-tisġir.</w:t>
      </w:r>
      <w:r>
        <w:rPr>
          <w:rStyle w:val="Bodytext2Bold"/>
        </w:rPr>
        <w:t xml:space="preserve"> </w:t>
      </w:r>
      <w:r>
        <w:rPr>
          <w:color w:val="000000"/>
        </w:rPr>
        <w:t xml:space="preserve">It-tisġir huwa t-tkabbir ta’ foresti ġodda fuq art li ma jkollhiex siġar, xi drabi din tkun art li qabel tkun ġiet deforestata jew degradata.</w:t>
      </w:r>
      <w:r>
        <w:rPr>
          <w:color w:val="000000"/>
        </w:rPr>
        <w:t xml:space="preserve"> </w:t>
      </w:r>
      <w:r>
        <w:rPr>
          <w:color w:val="000000"/>
        </w:rPr>
        <w:t xml:space="preserve">Hekk kif is-siġar jikbru, is-CO</w:t>
      </w:r>
      <w:r>
        <w:rPr>
          <w:vertAlign w:val="subscript"/>
        </w:rPr>
        <w:t xml:space="preserve">2</w:t>
      </w:r>
      <w:r>
        <w:rPr>
          <w:color w:val="000000"/>
        </w:rPr>
        <w:t xml:space="preserve"> jiġi assorbit mill-atmosfera u jinħażen fil-bijomassa u fil-ħamrija.</w:t>
      </w:r>
      <w:r>
        <w:rPr>
          <w:color w:val="000000"/>
        </w:rPr>
        <w:t xml:space="preserve"> </w:t>
      </w:r>
      <w:r>
        <w:rPr>
          <w:color w:val="000000"/>
        </w:rPr>
        <w:t xml:space="preserve">Jekk jiġi implimentat fuq skala kbira, it-tisġir jista’ juża art li hija meħtieġa għall-għelejjel jew għall-bhejjem, u b’hekk iżid il-prezzijiet tal-ikel.</w:t>
      </w:r>
      <w:r>
        <w:rPr>
          <w:color w:val="000000"/>
        </w:rPr>
        <w:t xml:space="preserve"> </w:t>
      </w:r>
      <w:r>
        <w:rPr>
          <w:color w:val="000000"/>
        </w:rPr>
        <w:t xml:space="preserve">Ikkunsidraw kemm ikunu jeħtieġu art il-politiki ta’ tisġir li intom u gruppi oħra tipproponu.</w:t>
      </w:r>
    </w:p>
    <w:p w:rsidRPr="007A09A4" w:rsidR="002C1D77" w:rsidP="00290B55" w:rsidRDefault="00DC05B0">
      <w:pPr>
        <w:numPr>
          <w:ilvl w:val="0"/>
          <w:numId w:val="1"/>
        </w:numPr>
        <w:spacing w:after="120" w:line="276" w:lineRule="auto"/>
        <w:ind w:left="400" w:hanging="400"/>
      </w:pPr>
      <w:r>
        <w:rPr>
          <w:b/>
          <w:color w:val="000000"/>
        </w:rPr>
        <w:t xml:space="preserve">Naqqsu l-emissjonijiet tal-metan, tal-ossidu nitruż, u ta’ gassijiet b'effet ta' serra oħrajn.</w:t>
      </w:r>
      <w:r>
        <w:t xml:space="preserve"> </w:t>
      </w:r>
      <w:r>
        <w:t xml:space="preserve">Is-CO</w:t>
      </w:r>
      <w:r>
        <w:rPr>
          <w:vertAlign w:val="subscript"/>
        </w:rPr>
        <w:t xml:space="preserve">2</w:t>
      </w:r>
      <w:r>
        <w:t xml:space="preserve"> huwa l-iżjed gass b'effett ta' serra prominenti, iżda gassijiet oħrajn jikkawżaw madwar kwart tat-tisħin globali.</w:t>
      </w:r>
      <w:r>
        <w:t xml:space="preserve"> </w:t>
      </w:r>
      <w:r>
        <w:t xml:space="preserve">Dawn jinkludu l-metan (CH</w:t>
      </w:r>
      <w:r>
        <w:rPr>
          <w:vertAlign w:val="subscript"/>
        </w:rPr>
        <w:t xml:space="preserve">4</w:t>
      </w:r>
      <w:r>
        <w:t xml:space="preserve">), l-ossidu nitruż (N</w:t>
      </w:r>
      <w:r>
        <w:rPr>
          <w:vertAlign w:val="subscript"/>
        </w:rPr>
        <w:t xml:space="preserve">2</w:t>
      </w:r>
      <w:r>
        <w:t xml:space="preserve">O), u firxa wiesgħa ta’ klorofluworokarburi u komposti fluworurati oħra (l-hekk imsejħa gassijiet serra fluworurati).</w:t>
      </w:r>
      <w:r>
        <w:t xml:space="preserve"> </w:t>
      </w:r>
      <w:r>
        <w:t xml:space="preserve">Molekula b'molekula, ħafna mill-gassijiet mhux CO</w:t>
      </w:r>
      <w:r>
        <w:rPr>
          <w:vertAlign w:val="subscript"/>
        </w:rPr>
        <w:t xml:space="preserve">2</w:t>
      </w:r>
      <w:r>
        <w:t xml:space="preserve"> jikkontribwixxu għexieren, mijiet jew saħansitra eluf ta’ drabi aktar għat-tisħin globali matul is-seklu li jmiss milli s-CO</w:t>
      </w:r>
      <w:r>
        <w:rPr>
          <w:vertAlign w:val="subscript"/>
        </w:rPr>
        <w:t xml:space="preserve">2</w:t>
      </w:r>
      <w:r>
        <w:t xml:space="preserve">.</w:t>
      </w:r>
      <w:r>
        <w:t xml:space="preserve"> </w:t>
      </w:r>
      <w:r>
        <w:t xml:space="preserve">Għalkemm il-konċentrazzjonijiet tagħhom huma baxxi, huma qegħdin jiżdiedu b’mod rapidu.</w:t>
      </w:r>
    </w:p>
    <w:p w:rsidRPr="007A09A4" w:rsidR="002C1D77" w:rsidP="00290B55" w:rsidRDefault="00DC05B0">
      <w:pPr>
        <w:keepLines/>
        <w:numPr>
          <w:ilvl w:val="0"/>
          <w:numId w:val="1"/>
        </w:numPr>
        <w:spacing w:after="120" w:line="276" w:lineRule="auto"/>
        <w:ind w:left="403" w:hanging="403"/>
      </w:pPr>
      <w:r>
        <w:rPr>
          <w:b/>
        </w:rPr>
        <w:t xml:space="preserve">Iddeċiedu jekk tinvestux fir-riċerka u l-iżvilupp (R&amp;Ż) għal sors ta’ enerġija ġdid bi spiża baxax u mingħajr emissjonijiet ta’ karbonju.</w:t>
      </w:r>
      <w:r>
        <w:t xml:space="preserve"> </w:t>
      </w:r>
      <w:r>
        <w:t xml:space="preserve">Xi xjenzati jemmnu li tip ġdid ta’ enerġija nukleari, bħall-fissjoni tat-torju jew il-fużjoni nukleari, joffri l-aħjar sors ta’ enerġija biex jiġu sostitwiti l-fjuwils fossili, bl-argument li teknoloġiji bħal dawn jistgħu jipprovdu elettriku bi spiża baxxa u mingħajr emissjonijiet ta’ karbonju, fid-daqs meħtieġ.</w:t>
      </w:r>
      <w:r>
        <w:t xml:space="preserve"> </w:t>
      </w:r>
      <w:r>
        <w:t xml:space="preserve">Diversi universitajiet u kumpaniji prominenti qegħdin jesploraw soluzzjonijiet promettenti ġodda tal-enerġija nukleari.</w:t>
      </w:r>
      <w:r>
        <w:t xml:space="preserve"> </w:t>
      </w:r>
      <w:r>
        <w:t xml:space="preserve">Madankollu, dawn it-teknoloġiji ġodda attwalment mhumiex disponibbli u jkunu jeħtieġu investiment sostanzjali biex isiru kummerċjalment vijabbli.</w:t>
      </w:r>
    </w:p>
    <w:p w:rsidRPr="007A09A4" w:rsidR="002C1D77" w:rsidP="00290B55" w:rsidRDefault="00DC05B0">
      <w:pPr>
        <w:numPr>
          <w:ilvl w:val="0"/>
          <w:numId w:val="1"/>
        </w:numPr>
        <w:spacing w:after="120" w:line="276" w:lineRule="auto"/>
        <w:ind w:left="403" w:hanging="403"/>
      </w:pPr>
      <w:r>
        <w:rPr>
          <w:b/>
        </w:rPr>
        <w:t xml:space="preserve">Iddeċiedu jekk jistgħux isiru żviluppi sinifikanti fit-teknoloġija għall-assorbiment tal-karbonju.</w:t>
      </w:r>
      <w:r>
        <w:t xml:space="preserve"> </w:t>
      </w:r>
      <w:r>
        <w:t xml:space="preserve">Il-qasam emerġenti tat-teknoloġija għall-assorbiment tad-diossidu tal-karbonju (CDR) ifittex metodi għat-tneħħija tas-CO2 li diġà jinsab fl-atmosfera.</w:t>
      </w:r>
      <w:r>
        <w:t xml:space="preserve"> </w:t>
      </w:r>
      <w:r>
        <w:t xml:space="preserve">Dawn it-teknoloġiji jvarjaw minn bidliet fil-prattiki agrikoli li jistgħu jiġu implimentati llum għal teknoloġiji spekulattivi u mhux ippruvati bħall-Qbid Dirett mill-Arja (DAC – Direct Air Capture).</w:t>
      </w:r>
      <w:r>
        <w:t xml:space="preserve"> </w:t>
      </w:r>
      <w:r>
        <w:t xml:space="preserve">Il-grupp tagħkom jista’ jiddeċiedi li jinvesti f’dawn it-teknoloġiji.</w:t>
      </w:r>
    </w:p>
    <w:p w:rsidRPr="007A09A4" w:rsidR="002C1D77" w:rsidP="00290B55" w:rsidRDefault="00DC05B0">
      <w:pPr>
        <w:numPr>
          <w:ilvl w:val="0"/>
          <w:numId w:val="1"/>
        </w:numPr>
        <w:tabs>
          <w:tab w:val="left" w:pos="355"/>
        </w:tabs>
        <w:spacing w:after="120" w:line="276" w:lineRule="auto"/>
        <w:ind w:left="403" w:hanging="403"/>
      </w:pPr>
      <w:r>
        <w:rPr>
          <w:b/>
        </w:rPr>
        <w:t xml:space="preserve">Ikkunsidraw li tpoġġu prezz fuq l-emissjonijiet tas-CO</w:t>
      </w:r>
      <w:r>
        <w:rPr>
          <w:b/>
          <w:vertAlign w:val="subscript"/>
        </w:rPr>
        <w:t xml:space="preserve">2</w:t>
      </w:r>
      <w:r>
        <w:rPr>
          <w:b/>
        </w:rPr>
        <w:t xml:space="preserve">.</w:t>
      </w:r>
      <w:r>
        <w:t xml:space="preserve"> </w:t>
      </w:r>
      <w:r>
        <w:t xml:space="preserve">Il-fjuwils fossili għadhom jiddominaw is-sistema tal-enerġija tad-dinja, u s-CO</w:t>
      </w:r>
      <w:r>
        <w:rPr>
          <w:vertAlign w:val="subscript"/>
        </w:rPr>
        <w:t xml:space="preserve">2</w:t>
      </w:r>
      <w:r>
        <w:t xml:space="preserve"> li jemettu huwa bil-wisq l-akbar sors ta’ emissjonijiet ta’ gassijiet b'effett ta' serra.</w:t>
      </w:r>
      <w:r>
        <w:t xml:space="preserve"> </w:t>
      </w:r>
      <w:r>
        <w:t xml:space="preserve">L-ekonomisti jaqblu li prezz tal-karbonju huwa l-aħjar mod biex jitnaqqsu l-emissjonijiet ta’ gassijiet b'effett ta' serra (GHG).</w:t>
      </w:r>
      <w:r>
        <w:t xml:space="preserve"> </w:t>
      </w:r>
      <w:r>
        <w:t xml:space="preserve">Ikkunsidraw li tpoġġu prezz fuq il-karbonju, forsi introdott b’mod gradwali maż-żmien biex l-industrija u l-konsumaturi jingħataw żmien biex jaġġustaw.</w:t>
      </w:r>
      <w:r>
        <w:t xml:space="preserve"> </w:t>
      </w:r>
      <w:r>
        <w:t xml:space="preserve">Id-dħul jista’ jitħallas lura lill-pubbliku, jgħin biex jiġu paċuti l-ispejjeż ta’ politiki oħra, inaqqas id-defiċits fiskali tagħkom, jew jipprovdi għajnuna biex in-nazzjonijiet li qegħdin jiżviluppaw jiġu megħjuna biex inaqqsu l-emissjonijiet tagħhom.</w:t>
      </w:r>
      <w:r>
        <w:t xml:space="preserve"> </w:t>
      </w:r>
      <w:r>
        <w:t xml:space="preserve">Għalkemm il-prezzijiet tal-karbonju ġew implimentati f’xi wħud mill-pajjiżi, stati, u provinċji tagħkom, il-biċċa l-kbira huma ferm anqas mill-prezz ta’ $30-50 għal kull tunnellata ta’ CO</w:t>
      </w:r>
      <w:r>
        <w:rPr>
          <w:vertAlign w:val="subscript"/>
        </w:rPr>
        <w:t xml:space="preserve">2</w:t>
      </w:r>
      <w:r>
        <w:t xml:space="preserve">, jew aktar, li bosta ekonomisti jirrakkomandaw.</w:t>
      </w:r>
      <w:r>
        <w:t xml:space="preserve"> </w:t>
      </w:r>
      <w:r>
        <w:t xml:space="preserve">L-industrija tal-fjuwil fossili hija kontra l-prezzijiet fuq il-karbonju, l-istess bħall-kumpaniji li jiddependu b’mod qawwi fuq il-fjuwils fossili.</w:t>
      </w:r>
    </w:p>
    <w:p w:rsidRPr="000A6D24" w:rsidR="002C1D77" w:rsidP="00290B55" w:rsidRDefault="00DC05B0">
      <w:pPr>
        <w:spacing w:after="120" w:line="276" w:lineRule="auto"/>
        <w:rPr>
          <w:b/>
        </w:rPr>
      </w:pPr>
      <w:r>
        <w:rPr>
          <w:b/>
          <w:color w:val="000000"/>
        </w:rPr>
        <w:t xml:space="preserve">Kunsiderazzjonijiet addizzjonali</w:t>
      </w:r>
    </w:p>
    <w:p w:rsidRPr="004D0CFD" w:rsidR="002C1D77" w:rsidP="000A6D24" w:rsidRDefault="00DC05B0">
      <w:pPr>
        <w:spacing w:after="120" w:line="276" w:lineRule="auto"/>
      </w:pPr>
      <w:r>
        <w:rPr>
          <w:color w:val="000000"/>
        </w:rPr>
        <w:t xml:space="preserve">Intom tirrikonoxxu li t-tibdil fil-klima huwa reali, ikkawżat primarjament mill-ħruq tal-fjuwils fossili, u li joħloq riskji gravi għan-nies madwar id-dinja – inklużi tagħkom.</w:t>
      </w:r>
      <w:r>
        <w:rPr>
          <w:color w:val="000000"/>
        </w:rPr>
        <w:t xml:space="preserve"> </w:t>
      </w:r>
      <w:r>
        <w:rPr>
          <w:color w:val="000000"/>
        </w:rPr>
        <w:t xml:space="preserve">It-tibdil fil-klima huwa multiplikatur ta’ theddida serja li jhedded is-sigurtà nazzjonali tagħkom, billi l-ħsara mit-tibdil fil-klima tixpruna dejjem aktar il-kunflitti u l-migrazzjoni, li diġà qiegħda tikkawża konsegwenzi negattivi fost xi wħud u l-impożizzjoni ta’ politiki kontra l-immigrazzjoni.</w:t>
      </w:r>
    </w:p>
    <w:p w:rsidRPr="004D0CFD" w:rsidR="002C1D77" w:rsidP="000A6D24" w:rsidRDefault="00DC05B0">
      <w:pPr>
        <w:spacing w:after="120" w:line="276" w:lineRule="auto"/>
      </w:pPr>
      <w:r>
        <w:rPr>
          <w:color w:val="000000"/>
        </w:rPr>
        <w:t xml:space="preserve">Fl-istess ħin, in-nazzjonijiet tagħkom jiddependu fuq il-fjuwils fossili – in-nazzjonijiet tagħkom huma responsabbli għal 36 % tal-emissjonijiet globali ta’ gassijiet b'effett ta' serra (GHG) illum, u proporzjon ferm ogħla ta’ emissjonijiet kumulattivi mir-rivoluzzjoni industrijali ’l hawn.</w:t>
      </w:r>
      <w:r>
        <w:rPr>
          <w:color w:val="000000"/>
        </w:rPr>
        <w:t xml:space="preserve"> </w:t>
      </w:r>
      <w:r>
        <w:rPr>
          <w:color w:val="000000"/>
        </w:rPr>
        <w:t xml:space="preserve">L-ekonomiji ta’ xi nazzjonijiet fil-grupp tagħkom jiddependu fuq l-esportazzjonijiet tal-fjuwils fossili, speċjalment ir-Russja (iż-żejt u l-gass), l-Awstralja (il-faħam), u l-Kanada (iż-żejt mir-ramel bituminuż).</w:t>
      </w:r>
      <w:r>
        <w:rPr>
          <w:color w:val="000000"/>
        </w:rPr>
        <w:t xml:space="preserve"> </w:t>
      </w:r>
      <w:r>
        <w:rPr>
          <w:color w:val="000000"/>
        </w:rPr>
        <w:t xml:space="preserve">L-Istati Uniti ħabbru l-intenzjoni tagħhom li jirtiraw mill-Ftehim ta’ Pariġi dwar il-Klima tal-2015, u l-gvern federali tal-Istati Uniti qiegħed jirtira bosta politiki favur il-klima.</w:t>
      </w:r>
      <w:r>
        <w:rPr>
          <w:color w:val="000000"/>
        </w:rPr>
        <w:t xml:space="preserve"> </w:t>
      </w:r>
      <w:r>
        <w:rPr>
          <w:color w:val="000000"/>
        </w:rPr>
        <w:t xml:space="preserve">Fl-istess ħin, </w:t>
      </w:r>
      <w:r>
        <w:rPr>
          <w:rStyle w:val="Bodytext2"/>
        </w:rPr>
        <w:t xml:space="preserve">għexieren ta’ Stati</w:t>
      </w:r>
      <w:r>
        <w:t xml:space="preserve"> </w:t>
      </w:r>
      <w:r>
        <w:rPr>
          <w:color w:val="000000"/>
        </w:rPr>
        <w:t xml:space="preserve">u mijiet ta’ bliet, kontej, u negozji fl-Istati Uniti ddikjaraw “</w:t>
      </w:r>
      <w:r>
        <w:rPr>
          <w:rStyle w:val="Bodytext2"/>
        </w:rPr>
        <w:t xml:space="preserve">aħna għadna hemm</w:t>
      </w:r>
      <w:r>
        <w:rPr>
          <w:color w:val="000000"/>
        </w:rPr>
        <w:t xml:space="preserve">”</w:t>
      </w:r>
      <w:r>
        <w:t xml:space="preserve"> </w:t>
      </w:r>
      <w:r>
        <w:rPr>
          <w:color w:val="000000"/>
        </w:rPr>
        <w:t xml:space="preserve">u wiegħdu li jilħqu jew jaqbżu s-sehem tagħhom tal-impenn tal-Istati Uniti.</w:t>
      </w:r>
      <w:r>
        <w:rPr>
          <w:color w:val="000000"/>
        </w:rPr>
        <w:t xml:space="preserve"> </w:t>
      </w:r>
      <w:r>
        <w:rPr>
          <w:color w:val="000000"/>
        </w:rPr>
        <w:t xml:space="preserve">Bosta gvernijiet u negozji qegħdin isibu li l-politiki li jirrispettaw il-klima huma tajbin għall-ekonomija.</w:t>
      </w:r>
      <w:r>
        <w:rPr>
          <w:color w:val="000000"/>
        </w:rPr>
        <w:t xml:space="preserve"> </w:t>
      </w:r>
      <w:r>
        <w:rPr>
          <w:color w:val="000000"/>
        </w:rPr>
        <w:t xml:space="preserve">L-effiċjenza enerġetika, u s-sorsi ta’ enerġija rinnovabbli bħar-riħ u x-xemx, ħafna drabi huma profittabbli, joħolqu l-impjiegi, u jtejbu s-saħħa pubblika.</w:t>
      </w:r>
    </w:p>
    <w:p w:rsidRPr="004D0CFD" w:rsidR="002C1D77" w:rsidRDefault="00DC05B0">
      <w:pPr>
        <w:spacing w:line="276" w:lineRule="auto"/>
      </w:pPr>
      <w:r>
        <w:rPr>
          <w:color w:val="000000"/>
        </w:rPr>
        <w:t xml:space="preserve">Filwaqt li n-nazzjonijiet tagħkom qegħdin jaħdmu biex inaqqsu l-emissjonijiet ta' gassijiet b'effett ta' serra tagħkom, intom tinnotaw li ċ-Ċina hija l-akbar emittent fid-dinja (28 % tal-emissjonijiet globali), u n-nazzjonijiet li qegħdin jiżviluppaw u li qegħdin jemerġu b’mod rapidu flimkien jemettu madwar 65 % tal-emissjonijiet globali, anki jekk l-emissjonijiet għal kull persuna f’dawk in-nazzjonijiet huma baxxi.</w:t>
      </w:r>
    </w:p>
    <w:sectPr w:rsidRPr="004D0CFD" w:rsidR="002C1D77" w:rsidSect="004D0CFD">
      <w:footerReference w:type="default" r:id="rId9"/>
      <w:pgSz w:w="11906" w:h="16838" w:code="9"/>
      <w:pgMar w:top="851" w:right="1134" w:bottom="1134" w:left="1247" w:header="284" w:footer="2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5B0" w:rsidRDefault="00DC05B0">
      <w:pPr>
        <w:spacing w:line="240" w:lineRule="auto"/>
      </w:pPr>
      <w:r>
        <w:separator/>
      </w:r>
    </w:p>
  </w:endnote>
  <w:endnote w:type="continuationSeparator" w:id="0">
    <w:p w:rsidR="00DC05B0" w:rsidRDefault="00DC05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90B55" w:rsidR="004D0CFD" w:rsidRDefault="004D0CFD">
    <w:pPr>
      <w:pStyle w:val="Footer"/>
      <w:rPr>
        <w:i/>
        <w:sz w:val="18"/>
        <w:szCs w:val="18"/>
      </w:rPr>
    </w:pPr>
    <w:r>
      <w:rPr>
        <w:i/>
        <w:sz w:val="18"/>
        <w:szCs w:val="18"/>
      </w:rPr>
      <w:t xml:space="preserve">Żviluppat minn Climate Interactive, MIT Sloan School of Management Sustainability Initiative, ESB Business School, u UMass Lowell Climate Change Initiative.</w:t>
    </w:r>
    <w:r>
      <w:rPr>
        <w:i/>
        <w:sz w:val="18"/>
        <w:szCs w:val="18"/>
      </w:rPr>
      <w:t xml:space="preserve"> </w:t>
    </w:r>
    <w:r>
      <w:rPr>
        <w:i/>
        <w:sz w:val="18"/>
        <w:szCs w:val="18"/>
      </w:rPr>
      <w:t xml:space="preserve">Aġġornat l-aħħar f'Settembru 2019.</w:t>
    </w:r>
    <w:r>
      <w:rPr>
        <w:i/>
        <w:sz w:val="18"/>
        <w:szCs w:val="18"/>
      </w:rPr>
      <w:t xml:space="preserve"> </w:t>
    </w:r>
    <w:hyperlink w:history="1" r:id="rId1">
      <w:r>
        <w:rPr>
          <w:rStyle w:val="Hyperlink"/>
          <w:i/>
          <w:sz w:val="18"/>
          <w:szCs w:val="18"/>
        </w:rPr>
        <w:t xml:space="preserve">www.cllmatelnteractlve.org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5B0" w:rsidRDefault="00DC05B0"/>
  </w:footnote>
  <w:footnote w:type="continuationSeparator" w:id="0">
    <w:p w:rsidR="00DC05B0" w:rsidRDefault="00DC05B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>
    <w:nsid w:val="413B2488"/>
    <w:multiLevelType w:val="multilevel"/>
    <w:tmpl w:val="69EAB3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san Sexton Hayden">
    <w15:presenceInfo w15:providerId="None" w15:userId="Susan Sexton Hayd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77"/>
    <w:rsid w:val="0006720E"/>
    <w:rsid w:val="000A6D24"/>
    <w:rsid w:val="00290B55"/>
    <w:rsid w:val="002C1D77"/>
    <w:rsid w:val="004D0CFD"/>
    <w:rsid w:val="00571732"/>
    <w:rsid w:val="005C1752"/>
    <w:rsid w:val="006D3A3F"/>
    <w:rsid w:val="007412A6"/>
    <w:rsid w:val="007835BC"/>
    <w:rsid w:val="007A09A4"/>
    <w:rsid w:val="0091067F"/>
    <w:rsid w:val="00A26097"/>
    <w:rsid w:val="00BE2C0D"/>
    <w:rsid w:val="00BE3933"/>
    <w:rsid w:val="00DC05B0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mt-MT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CFD"/>
    <w:pPr>
      <w:widowControl/>
      <w:spacing w:line="288" w:lineRule="auto"/>
      <w:jc w:val="both"/>
    </w:pPr>
    <w:rPr>
      <w:sz w:val="22"/>
      <w:szCs w:val="22"/>
      <w:lang w:val="mt-MT" w:bidi="ar-SA"/>
    </w:rPr>
  </w:style>
  <w:style w:type="paragraph" w:styleId="Heading1">
    <w:name w:val="heading 1"/>
    <w:basedOn w:val="Normal"/>
    <w:next w:val="Normal"/>
    <w:link w:val="Heading1Char"/>
    <w:qFormat/>
    <w:rsid w:val="004D0CFD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4D0CFD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D0CFD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D0CFD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4D0CFD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4D0CFD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4D0CFD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4D0CFD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4D0CFD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0CFD"/>
    <w:rPr>
      <w:color w:val="0563C1" w:themeColor="hyperlink"/>
      <w:u w:val="single"/>
    </w:rPr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2">
    <w:name w:val="Body text|2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single"/>
      <w:lang w:val="mt-MT" w:eastAsia="en-US" w:bidi="en-US"/>
    </w:rPr>
  </w:style>
  <w:style w:type="character" w:customStyle="1" w:styleId="Bodytext20">
    <w:name w:val="Body text|2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1">
    <w:name w:val="Body text|2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Bold">
    <w:name w:val="Body text|2 +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6pt">
    <w:name w:val="Body text|2 + 6 pt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3NotBold">
    <w:name w:val="Body text|3 + Not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36ptNotBold">
    <w:name w:val="Body text|3 + 6 pt;Not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3">
    <w:name w:val="Body text|3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6pt0">
    <w:name w:val="Body text|2 + 6 pt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2Bold0">
    <w:name w:val="Body text|2 +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table" w:styleId="TableGrid">
    <w:name w:val="Table Grid"/>
    <w:basedOn w:val="TableNormal"/>
    <w:uiPriority w:val="39"/>
    <w:rsid w:val="004D0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FFFFFF"/>
      <w:spacing w:after="300" w:line="402" w:lineRule="exact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rsid w:val="004D0CFD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4D0CFD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4D0CFD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4D0CFD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4D0CFD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4D0CFD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4D0CFD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4D0CFD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4D0CFD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4D0CFD"/>
  </w:style>
  <w:style w:type="character" w:customStyle="1" w:styleId="FooterChar">
    <w:name w:val="Footer Char"/>
    <w:basedOn w:val="DefaultParagraphFont"/>
    <w:link w:val="Footer"/>
    <w:rsid w:val="004D0CFD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4D0CF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4D0CFD"/>
    <w:rPr>
      <w:sz w:val="16"/>
      <w:szCs w:val="22"/>
      <w:lang w:bidi="ar-SA"/>
    </w:rPr>
  </w:style>
  <w:style w:type="paragraph" w:styleId="Header">
    <w:name w:val="header"/>
    <w:basedOn w:val="Normal"/>
    <w:link w:val="HeaderChar"/>
    <w:qFormat/>
    <w:rsid w:val="004D0CFD"/>
  </w:style>
  <w:style w:type="character" w:customStyle="1" w:styleId="HeaderChar">
    <w:name w:val="Header Char"/>
    <w:basedOn w:val="DefaultParagraphFont"/>
    <w:link w:val="Header"/>
    <w:rsid w:val="004D0CFD"/>
    <w:rPr>
      <w:sz w:val="22"/>
      <w:szCs w:val="22"/>
      <w:lang w:bidi="ar-SA"/>
    </w:rPr>
  </w:style>
  <w:style w:type="paragraph" w:customStyle="1" w:styleId="quotes">
    <w:name w:val="quotes"/>
    <w:basedOn w:val="Normal"/>
    <w:next w:val="Normal"/>
    <w:rsid w:val="004D0CFD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4D0CFD"/>
    <w:rPr>
      <w:sz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CFD"/>
    <w:pPr>
      <w:widowControl/>
      <w:spacing w:line="288" w:lineRule="auto"/>
      <w:jc w:val="both"/>
    </w:pPr>
    <w:rPr>
      <w:sz w:val="22"/>
      <w:szCs w:val="22"/>
      <w:lang w:val="en-GB" w:bidi="ar-SA"/>
    </w:rPr>
  </w:style>
  <w:style w:type="paragraph" w:styleId="Heading1">
    <w:name w:val="heading 1"/>
    <w:basedOn w:val="Normal"/>
    <w:next w:val="Normal"/>
    <w:link w:val="Heading1Char"/>
    <w:qFormat/>
    <w:rsid w:val="004D0CFD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4D0CFD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D0CFD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D0CFD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4D0CFD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4D0CFD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4D0CFD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4D0CFD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4D0CFD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0CFD"/>
    <w:rPr>
      <w:color w:val="0563C1" w:themeColor="hyperlink"/>
      <w:u w:val="single"/>
    </w:rPr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2">
    <w:name w:val="Body text|2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0">
    <w:name w:val="Body text|2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1">
    <w:name w:val="Body text|2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Bold">
    <w:name w:val="Body text|2 +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6pt">
    <w:name w:val="Body text|2 + 6 pt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3NotBold">
    <w:name w:val="Body text|3 + Not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36ptNotBold">
    <w:name w:val="Body text|3 + 6 pt;Not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3">
    <w:name w:val="Body text|3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6pt0">
    <w:name w:val="Body text|2 + 6 pt"/>
    <w:basedOn w:val="DefaultParagraphFont"/>
    <w:semiHidden/>
    <w:unhideWhenUsed/>
    <w:rsid w:val="000A6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2Bold0">
    <w:name w:val="Body text|2 + Bold"/>
    <w:basedOn w:val="DefaultParagraphFont"/>
    <w:semiHidden/>
    <w:unhideWhenUsed/>
    <w:rsid w:val="000A6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en-US" w:eastAsia="en-US" w:bidi="en-US"/>
    </w:rPr>
  </w:style>
  <w:style w:type="table" w:styleId="TableGrid">
    <w:name w:val="Table Grid"/>
    <w:basedOn w:val="TableNormal"/>
    <w:uiPriority w:val="39"/>
    <w:rsid w:val="004D0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FFFFFF"/>
      <w:spacing w:after="300" w:line="402" w:lineRule="exact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rsid w:val="004D0CFD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4D0CFD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4D0CFD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4D0CFD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4D0CFD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4D0CFD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4D0CFD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4D0CFD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4D0CFD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4D0CFD"/>
  </w:style>
  <w:style w:type="character" w:customStyle="1" w:styleId="FooterChar">
    <w:name w:val="Footer Char"/>
    <w:basedOn w:val="DefaultParagraphFont"/>
    <w:link w:val="Footer"/>
    <w:rsid w:val="004D0CFD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4D0CFD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4D0CFD"/>
    <w:rPr>
      <w:sz w:val="16"/>
      <w:szCs w:val="22"/>
      <w:lang w:bidi="ar-SA"/>
    </w:rPr>
  </w:style>
  <w:style w:type="paragraph" w:styleId="Header">
    <w:name w:val="header"/>
    <w:basedOn w:val="Normal"/>
    <w:link w:val="HeaderChar"/>
    <w:qFormat/>
    <w:rsid w:val="004D0CFD"/>
  </w:style>
  <w:style w:type="character" w:customStyle="1" w:styleId="HeaderChar">
    <w:name w:val="Header Char"/>
    <w:basedOn w:val="DefaultParagraphFont"/>
    <w:link w:val="Header"/>
    <w:rsid w:val="004D0CFD"/>
    <w:rPr>
      <w:sz w:val="22"/>
      <w:szCs w:val="22"/>
      <w:lang w:bidi="ar-SA"/>
    </w:rPr>
  </w:style>
  <w:style w:type="paragraph" w:customStyle="1" w:styleId="quotes">
    <w:name w:val="quotes"/>
    <w:basedOn w:val="Normal"/>
    <w:next w:val="Normal"/>
    <w:rsid w:val="004D0CFD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4D0CFD"/>
    <w:rPr>
      <w:sz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1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://www.cllmatelnteractl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CTJJHAUHWN5E-644613129-2419</_dlc_DocId>
    <_dlc_DocIdUrl xmlns="bfc960a6-20da-4c94-8684-71380fca093b">
      <Url>http://dm2016/eesc/2019/_layouts/15/DocIdRedir.aspx?ID=CTJJHAUHWN5E-644613129-2419</Url>
      <Description>CTJJHAUHWN5E-644613129-2419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153</Value>
      <Value>64</Value>
      <Value>63</Value>
      <Value>62</Value>
      <Value>246</Value>
      <Value>152</Value>
      <Value>56</Value>
      <Value>55</Value>
      <Value>17</Value>
      <Value>52</Value>
      <Value>162</Value>
      <Value>21</Value>
      <Value>11</Value>
      <Value>45</Value>
      <Value>7</Value>
      <Value>154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11388</FicheNumber>
    <DocumentPart xmlns="bfc960a6-20da-4c94-8684-71380fca093b">5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4BC41-CEBE-47A3-8E60-6193495E8CB7}"/>
</file>

<file path=customXml/itemProps2.xml><?xml version="1.0" encoding="utf-8"?>
<ds:datastoreItem xmlns:ds="http://schemas.openxmlformats.org/officeDocument/2006/customXml" ds:itemID="{AA72FDCB-B46E-47E7-AEF0-E9126BB6BF05}"/>
</file>

<file path=customXml/itemProps3.xml><?xml version="1.0" encoding="utf-8"?>
<ds:datastoreItem xmlns:ds="http://schemas.openxmlformats.org/officeDocument/2006/customXml" ds:itemID="{4337FC69-71FF-49FF-8742-51E67DBB4320}"/>
</file>

<file path=customXml/itemProps4.xml><?xml version="1.0" encoding="utf-8"?>
<ds:datastoreItem xmlns:ds="http://schemas.openxmlformats.org/officeDocument/2006/customXml" ds:itemID="{8E26651C-5955-45C6-B918-DDB959A1394E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1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L-Ewropa Tiegħek, Leħnek - Dokumenti ta' Ħidma - Grupp 6A - Nazzjonijiet Żviluppati</dc:title>
  <cp:keywords>EESC-2019-05163-05-00-INFO-TRA-EN</cp:keywords>
  <dc:description>Rapporteur:  - Original language: EN - Date of document: 09/12/2019 - Date of meeting:  - External documents:  - Administrator: MME LAHOUSSE Chloé</dc:description>
  <cp:lastModifiedBy>TDriveSVCUserProd</cp:lastModifiedBy>
  <cp:revision>4</cp:revision>
  <dcterms:created xsi:type="dcterms:W3CDTF">2019-11-15T11:30:00Z</dcterms:created>
  <dcterms:modified xsi:type="dcterms:W3CDTF">2019-11-15T11:34:00Z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11:50:56, 11:31:01</vt:lpwstr>
  </property>
  <property fmtid="{D5CDD505-2E9C-101B-9397-08002B2CF9AE}" pid="5" name="Pref_User">
    <vt:lpwstr>hnic, ssex</vt:lpwstr>
  </property>
  <property fmtid="{D5CDD505-2E9C-101B-9397-08002B2CF9AE}" pid="6" name="Pref_FileName">
    <vt:lpwstr>EESC-2019-05163-05-00-INFO-TRA-EN-CRR.docx, EESC-2019-05163-05-00-INFO-ORI.docx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f3e5eeda-2adc-4b6f-997a-0c72e735dd1a</vt:lpwstr>
  </property>
  <property fmtid="{D5CDD505-2E9C-101B-9397-08002B2CF9AE}" pid="9" name="AvailableTranslations">
    <vt:lpwstr>63;#MT|7df99101-6854-4a26-b53a-b88c0da02c26;#152;#MK|34ce48bb-063e-4413-a932-50853dc71c5c;#162;#TR|6e4ededd-04c4-4fa0-94e0-1028050302d5;#64;#PT|50ccc04a-eadd-42ae-a0cb-acaf45f812ba;#62;#FI|87606a43-d45f-42d6-b8c9-e1a3457db5b7;#154;#SQ|5ac17240-8d11-45ec-9893-659b209d7a00;#56;#SL|98a412ae-eb01-49e9-ae3d-585a81724cfc;#4;#EN|f2175f21-25d7-44a3-96da-d6a61b075e1b;#52;#DA|5d49c027-8956-412b-aa16-e85a0f96ad0e;#45;#NL|55c6556c-b4f4-441d-9acf-c498d4f838bd;#17;#ES|e7a6b05b-ae16-40c8-add9-68b64b03aeba;#153;#SR|7f3a1d13-b985-4bfd-981e-afe31377edff;#55;#BG|1a1b3951-7821-4e6a-85f5-5673fc08bd2c;#246;#ME|925b3da5-5ac0-4b3c-928c-6ef66a5c9b3c;#21;#IT|0774613c-01ed-4e5d-a25d-11d2388de825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5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MK|34ce48bb-063e-4413-a932-50853dc71c5c;TR|6e4ededd-04c4-4fa0-94e0-1028050302d5;SQ|5ac17240-8d11-45ec-9893-659b209d7a00;EN|f2175f21-25d7-44a3-96da-d6a61b075e1b;DA|5d49c027-8956-412b-aa16-e85a0f96ad0e;ES|e7a6b05b-ae16-40c8-add9-68b64b03aeba;SR|7f3a1d13-b985-4bfd-981e-afe31377edff;ME|925b3da5-5ac0-4b3c-928c-6ef66a5c9b3c;IT|0774613c-01ed-4e5d-a25d-11d2388de825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153;#SR|7f3a1d13-b985-4bfd-981e-afe31377edff;#246;#ME|925b3da5-5ac0-4b3c-928c-6ef66a5c9b3c;#152;#MK|34ce48bb-063e-4413-a932-50853dc71c5c;#21;#IT|0774613c-01ed-4e5d-a25d-11d2388de825;#17;#ES|e7a6b05b-ae16-40c8-add9-68b64b03aeba;#52;#DA|5d49c027-8956-412b-aa16-e85a0f96ad0e;#162;#TR|6e4ededd-04c4-4fa0-94e0-1028050302d5;#11;#INFO|d9136e7c-93a9-4c42-9d28-92b61e85f80c;#7;#Final|ea5e6674-7b27-4bac-b091-73adbb394efe;#154;#SQ|5ac17240-8d11-45ec-9893-659b209d7a00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11388</vt:i4>
  </property>
  <property fmtid="{D5CDD505-2E9C-101B-9397-08002B2CF9AE}" pid="37" name="DocumentLanguage">
    <vt:lpwstr>63;#MT|7df99101-6854-4a26-b53a-b88c0da02c26</vt:lpwstr>
  </property>
</Properties>
</file>